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《</w:t>
      </w:r>
      <w:r>
        <w:rPr>
          <w:rFonts w:hint="eastAsia" w:ascii="黑体" w:hAnsi="黑体" w:eastAsia="黑体"/>
          <w:sz w:val="32"/>
        </w:rPr>
        <w:t>********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color w:val="auto"/>
          <w:sz w:val="32"/>
          <w:szCs w:val="32"/>
        </w:rPr>
        <w:t>》教学大纲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outlineLvl w:val="0"/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  <w:t>一、课程基本信息</w:t>
      </w:r>
    </w:p>
    <w:tbl>
      <w:tblPr>
        <w:tblStyle w:val="2"/>
        <w:tblW w:w="5005" w:type="pct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333"/>
        <w:gridCol w:w="1632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课程编码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课程类别</w:t>
            </w:r>
          </w:p>
        </w:tc>
        <w:tc>
          <w:tcPr>
            <w:tcW w:w="1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学分/学时</w:t>
            </w:r>
          </w:p>
        </w:tc>
        <w:tc>
          <w:tcPr>
            <w:tcW w:w="19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开课学期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适用专业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40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先修课程</w:t>
            </w:r>
          </w:p>
        </w:tc>
        <w:tc>
          <w:tcPr>
            <w:tcW w:w="40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后续课程</w:t>
            </w:r>
          </w:p>
        </w:tc>
        <w:tc>
          <w:tcPr>
            <w:tcW w:w="40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outlineLvl w:val="0"/>
        <w:rPr>
          <w:rFonts w:hint="default" w:ascii="黑体" w:hAnsi="黑体" w:eastAsia="黑体" w:cs="Times New Roman"/>
          <w:b/>
          <w:sz w:val="28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  <w:t>二、总体安排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19"/>
        <w:gridCol w:w="6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  <w:t>课程内容</w:t>
            </w:r>
          </w:p>
        </w:tc>
        <w:tc>
          <w:tcPr>
            <w:tcW w:w="3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总体安排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教学模式</w:t>
            </w:r>
          </w:p>
        </w:tc>
        <w:tc>
          <w:tcPr>
            <w:tcW w:w="3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学习任务</w:t>
            </w:r>
          </w:p>
        </w:tc>
        <w:tc>
          <w:tcPr>
            <w:tcW w:w="3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教学组织</w:t>
            </w:r>
          </w:p>
        </w:tc>
        <w:tc>
          <w:tcPr>
            <w:tcW w:w="3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考核方式</w:t>
            </w:r>
          </w:p>
        </w:tc>
        <w:tc>
          <w:tcPr>
            <w:tcW w:w="3770" w:type="pct"/>
            <w:noWrap w:val="0"/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outlineLvl w:val="0"/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  <w:t>三、课程目标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801"/>
        <w:gridCol w:w="5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  <w:t>课程目标</w:t>
            </w:r>
          </w:p>
        </w:tc>
        <w:tc>
          <w:tcPr>
            <w:tcW w:w="3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目标内涵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（1）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9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eastAsia="仿宋_GB2312"/>
                <w:bCs/>
                <w:color w:val="auto"/>
                <w:sz w:val="21"/>
                <w:szCs w:val="21"/>
              </w:rPr>
              <w:t>2</w:t>
            </w:r>
            <w:r>
              <w:rPr>
                <w:rFonts w:hint="eastAsia" w:eastAsia="仿宋_GB2312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9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9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仿宋_GB2312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9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（5）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91" w:type="pct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outlineLvl w:val="9"/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outlineLvl w:val="0"/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  <w:t>四、课程目标与毕业要求指标点的支撑关系</w:t>
      </w:r>
    </w:p>
    <w:tbl>
      <w:tblPr>
        <w:tblStyle w:val="2"/>
        <w:tblW w:w="50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42"/>
        <w:gridCol w:w="4747"/>
        <w:gridCol w:w="590"/>
        <w:gridCol w:w="590"/>
        <w:gridCol w:w="590"/>
        <w:gridCol w:w="590"/>
        <w:gridCol w:w="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84" w:hRule="atLeast"/>
        </w:trPr>
        <w:tc>
          <w:tcPr>
            <w:tcW w:w="4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指标点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编  号</w:t>
            </w:r>
          </w:p>
        </w:tc>
        <w:tc>
          <w:tcPr>
            <w:tcW w:w="281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  <w:t>毕业要求指标点</w:t>
            </w:r>
          </w:p>
        </w:tc>
        <w:tc>
          <w:tcPr>
            <w:tcW w:w="1748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" w:hRule="atLeast"/>
        </w:trPr>
        <w:tc>
          <w:tcPr>
            <w:tcW w:w="4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>（1）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>（2）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>（3）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>（4）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>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28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●</w:t>
            </w:r>
            <w:r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  <w:t>针对网络设计与集成、网络安全分析与设计、网络软件设计开发、网络大数据处理等复杂工程问题，能够利用专业相关知识和数学模型、分析方法进行推理、分析和解释。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bCs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28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●</w:t>
            </w: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能够综合运用数学、工程数学、专业领域的基本原理，识别和判断网络施工与运维、网络安全设计与处理、网络软件开发与运维、网络大数据处理、网络协议分析等复杂工程问题的关键环节，借助专业领域的基本原理和数学模型方法正确表达。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Cs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28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●</w:t>
            </w:r>
            <w:r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  <w:t>能够在网络规划集成、网络软件研发、网络安全分析中展现创新意识。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bCs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28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●</w:t>
            </w:r>
            <w:r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  <w:t>能够完成网络设计、网络安全设计、网络软件设计开发、网络大数据处理、网络协议分析设计等复杂工程问题的全过程设计，并在设计中考虑经济、环境、法律、安全、健康、伦理等多方面要求。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default" w:ascii="Arial" w:hAnsi="Arial" w:eastAsia="仿宋_GB2312" w:cs="Arial"/>
                <w:bCs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8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●</w:t>
            </w:r>
            <w:r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  <w:t>能够针对网络集成与运维、网络安全设计与处理、网络软件开发与运维、网络大数据分析、网络协议分析等复杂工程问题的具体研究对象，开发或选用满足特定需求的现代工具，模拟和预测网络工程专业问题，并能分析其局限性。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default" w:ascii="Arial" w:hAnsi="Arial" w:eastAsia="仿宋_GB2312" w:cs="Arial"/>
                <w:bCs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outlineLvl w:val="0"/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  <w:t>五、课程目标与教学内容的支撑关系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1"/>
        <w:rPr>
          <w:rFonts w:hint="eastAsia" w:ascii="黑体" w:hAnsi="黑体" w:eastAsia="黑体" w:cs="Times New Roman"/>
          <w:b/>
          <w:sz w:val="24"/>
          <w:szCs w:val="28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8"/>
          <w:lang w:val="en-US" w:eastAsia="zh-CN"/>
        </w:rPr>
        <w:t>1.实验项目简况</w:t>
      </w:r>
    </w:p>
    <w:tbl>
      <w:tblPr>
        <w:tblStyle w:val="2"/>
        <w:tblW w:w="5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8"/>
        <w:gridCol w:w="1021"/>
        <w:gridCol w:w="2415"/>
        <w:gridCol w:w="2660"/>
        <w:gridCol w:w="591"/>
        <w:gridCol w:w="580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实验项目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名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称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实验目的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实验内容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实验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学时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实验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要求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实验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0" w:hRule="atLeast"/>
          <w:jc w:val="center"/>
        </w:trPr>
        <w:tc>
          <w:tcPr>
            <w:tcW w:w="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1"/>
        <w:rPr>
          <w:rFonts w:hint="eastAsia" w:ascii="黑体" w:hAnsi="黑体" w:eastAsia="黑体" w:cs="Times New Roman"/>
          <w:b/>
          <w:sz w:val="24"/>
          <w:szCs w:val="28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8"/>
          <w:lang w:val="en-US" w:eastAsia="zh-CN"/>
        </w:rPr>
        <w:t>2.课程目标与实验内容的支撑关系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746"/>
        <w:gridCol w:w="3097"/>
        <w:gridCol w:w="3027"/>
        <w:gridCol w:w="447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课程目标</w:t>
            </w:r>
          </w:p>
        </w:tc>
        <w:tc>
          <w:tcPr>
            <w:tcW w:w="18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实验内容</w:t>
            </w:r>
          </w:p>
        </w:tc>
        <w:tc>
          <w:tcPr>
            <w:tcW w:w="1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学习产出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学时</w:t>
            </w:r>
          </w:p>
        </w:tc>
        <w:tc>
          <w:tcPr>
            <w:tcW w:w="4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教学方式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2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42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2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outlineLvl w:val="0"/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  <w:t>六、教学组织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059"/>
        <w:gridCol w:w="5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eastAsia="仿宋_GB2312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  <w:t>教与学项目</w:t>
            </w:r>
          </w:p>
        </w:tc>
        <w:tc>
          <w:tcPr>
            <w:tcW w:w="3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教学组织方式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outlineLvl w:val="0"/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  <w:t>七、课程评价方式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714"/>
        <w:gridCol w:w="1209"/>
        <w:gridCol w:w="3816"/>
        <w:gridCol w:w="643"/>
        <w:gridCol w:w="643"/>
        <w:gridCol w:w="646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0" w:hRule="atLeast"/>
        </w:trPr>
        <w:tc>
          <w:tcPr>
            <w:tcW w:w="42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72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>支撑毕业要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>求的指标点</w:t>
            </w:r>
          </w:p>
        </w:tc>
        <w:tc>
          <w:tcPr>
            <w:tcW w:w="227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考核内容</w:t>
            </w:r>
          </w:p>
        </w:tc>
        <w:tc>
          <w:tcPr>
            <w:tcW w:w="115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分项考核比例（%）</w:t>
            </w:r>
          </w:p>
        </w:tc>
        <w:tc>
          <w:tcPr>
            <w:tcW w:w="42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比例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0" w:hRule="atLeast"/>
        </w:trPr>
        <w:tc>
          <w:tcPr>
            <w:tcW w:w="42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7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实验准备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实验操作</w:t>
            </w: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实验报告</w:t>
            </w:r>
          </w:p>
        </w:tc>
        <w:tc>
          <w:tcPr>
            <w:tcW w:w="42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0" w:hRule="atLeast"/>
        </w:trPr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7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0" w:hRule="atLeast"/>
        </w:trPr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7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0" w:hRule="atLeast"/>
        </w:trPr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7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0" w:hRule="atLeast"/>
        </w:trPr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7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0" w:hRule="atLeast"/>
        </w:trPr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7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0" w:hRule="atLeast"/>
        </w:trPr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outlineLvl w:val="0"/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  <w:t>八、课程评价标准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1"/>
        <w:rPr>
          <w:rFonts w:hint="eastAsia" w:ascii="黑体" w:hAnsi="黑体" w:eastAsia="黑体" w:cs="Times New Roman"/>
          <w:b/>
          <w:sz w:val="24"/>
          <w:szCs w:val="28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8"/>
          <w:lang w:val="en-US" w:eastAsia="zh-CN"/>
        </w:rPr>
        <w:t>1.实验准备评价标准</w:t>
      </w:r>
    </w:p>
    <w:tbl>
      <w:tblPr>
        <w:tblStyle w:val="2"/>
        <w:tblW w:w="501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661"/>
        <w:gridCol w:w="617"/>
        <w:gridCol w:w="1551"/>
        <w:gridCol w:w="1106"/>
        <w:gridCol w:w="1106"/>
        <w:gridCol w:w="1106"/>
        <w:gridCol w:w="1108"/>
        <w:gridCol w:w="1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39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36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比例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（%）</w:t>
            </w:r>
          </w:p>
        </w:tc>
        <w:tc>
          <w:tcPr>
            <w:tcW w:w="92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考核依据</w:t>
            </w:r>
          </w:p>
        </w:tc>
        <w:tc>
          <w:tcPr>
            <w:tcW w:w="3312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考核标准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6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100-90分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89-80分</w:t>
            </w: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79-70分</w:t>
            </w: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69-60分</w:t>
            </w:r>
          </w:p>
        </w:tc>
        <w:tc>
          <w:tcPr>
            <w:tcW w:w="6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&lt;60分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39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1"/>
        <w:rPr>
          <w:rFonts w:hint="eastAsia" w:ascii="黑体" w:hAnsi="黑体" w:eastAsia="黑体" w:cs="Times New Roman"/>
          <w:b/>
          <w:sz w:val="24"/>
          <w:szCs w:val="28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8"/>
          <w:lang w:val="en-US" w:eastAsia="zh-CN"/>
        </w:rPr>
        <w:t>2.实验操作评价标准</w:t>
      </w:r>
    </w:p>
    <w:tbl>
      <w:tblPr>
        <w:tblStyle w:val="2"/>
        <w:tblW w:w="501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667"/>
        <w:gridCol w:w="607"/>
        <w:gridCol w:w="1549"/>
        <w:gridCol w:w="1105"/>
        <w:gridCol w:w="1105"/>
        <w:gridCol w:w="1105"/>
        <w:gridCol w:w="1108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39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36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比例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（%）</w:t>
            </w:r>
          </w:p>
        </w:tc>
        <w:tc>
          <w:tcPr>
            <w:tcW w:w="92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>考核依据</w:t>
            </w:r>
          </w:p>
        </w:tc>
        <w:tc>
          <w:tcPr>
            <w:tcW w:w="331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考核标准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39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100-90分</w:t>
            </w: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89-80分</w:t>
            </w: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79-70分</w:t>
            </w: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69-60分</w:t>
            </w:r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&lt;60分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3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3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3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3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1"/>
        <w:rPr>
          <w:rFonts w:hint="eastAsia" w:ascii="黑体" w:hAnsi="黑体" w:eastAsia="黑体" w:cs="Times New Roman"/>
          <w:b/>
          <w:sz w:val="24"/>
          <w:szCs w:val="28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8"/>
          <w:lang w:val="en-US" w:eastAsia="zh-CN"/>
        </w:rPr>
        <w:t>3.实验报告评价标准</w:t>
      </w:r>
    </w:p>
    <w:tbl>
      <w:tblPr>
        <w:tblStyle w:val="2"/>
        <w:tblW w:w="501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668"/>
        <w:gridCol w:w="616"/>
        <w:gridCol w:w="1542"/>
        <w:gridCol w:w="1105"/>
        <w:gridCol w:w="1105"/>
        <w:gridCol w:w="1105"/>
        <w:gridCol w:w="1105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2" w:hRule="atLeast"/>
        </w:trPr>
        <w:tc>
          <w:tcPr>
            <w:tcW w:w="39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36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比例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val="en-US" w:eastAsia="zh-CN"/>
              </w:rPr>
              <w:t>（%）</w:t>
            </w:r>
          </w:p>
        </w:tc>
        <w:tc>
          <w:tcPr>
            <w:tcW w:w="92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考核依据</w:t>
            </w:r>
          </w:p>
        </w:tc>
        <w:tc>
          <w:tcPr>
            <w:tcW w:w="3312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考核标准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02" w:hRule="atLeast"/>
        </w:trPr>
        <w:tc>
          <w:tcPr>
            <w:tcW w:w="39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6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100-90分</w:t>
            </w: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89-80分</w:t>
            </w: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79-70分</w:t>
            </w: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69-60分</w:t>
            </w: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&lt;60分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59" w:hRule="atLeast"/>
        </w:trPr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outlineLvl w:val="0"/>
        <w:rPr>
          <w:rFonts w:hint="default" w:ascii="黑体" w:hAnsi="黑体" w:eastAsia="黑体" w:cs="Times New Roman"/>
          <w:b/>
          <w:sz w:val="28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32"/>
          <w:lang w:val="en-US" w:eastAsia="zh-CN"/>
        </w:rPr>
        <w:t>九、参考文献</w:t>
      </w:r>
    </w:p>
    <w:p>
      <w:pPr>
        <w:tabs>
          <w:tab w:val="left" w:pos="3420"/>
        </w:tabs>
        <w:spacing w:line="360" w:lineRule="auto"/>
        <w:ind w:firstLine="420" w:firstLineChars="200"/>
        <w:rPr>
          <w:rFonts w:hint="eastAsia" w:ascii="Times New Roman" w:hAnsi="Times New Roman" w:eastAsia="仿宋" w:cs="Times New Roman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[1] 沈鑫剡,等. 路由和交换技术实验及实训[M].2版. 北京：清华大学出版社，2019.</w:t>
      </w:r>
    </w:p>
    <w:p>
      <w:pPr>
        <w:tabs>
          <w:tab w:val="left" w:pos="3420"/>
        </w:tabs>
        <w:spacing w:line="360" w:lineRule="auto"/>
        <w:ind w:firstLine="420" w:firstLineChars="200"/>
        <w:rPr>
          <w:rFonts w:hint="eastAsia" w:ascii="Times New Roman" w:hAnsi="Times New Roman" w:eastAsia="仿宋" w:cs="Times New Roman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szCs w:val="21"/>
          <w:lang w:val="en-US" w:eastAsia="zh-CN"/>
        </w:rPr>
        <w:t xml:space="preserve">[2] </w:t>
      </w:r>
      <w:r>
        <w:rPr>
          <w:rFonts w:hint="default" w:ascii="Times New Roman" w:hAnsi="Times New Roman" w:eastAsia="仿宋" w:cs="Times New Roman"/>
          <w:szCs w:val="21"/>
          <w:lang w:val="en-US" w:eastAsia="zh-CN"/>
        </w:rPr>
        <w:t>斯桃枝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szCs w:val="21"/>
          <w:lang w:val="en-US" w:eastAsia="zh-CN"/>
        </w:rPr>
        <w:t>路由与交换技术实验及案例教程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[M].2版. 北京：</w:t>
      </w:r>
      <w:r>
        <w:rPr>
          <w:rFonts w:hint="default" w:ascii="Times New Roman" w:hAnsi="Times New Roman" w:eastAsia="仿宋" w:cs="Times New Roman"/>
          <w:szCs w:val="21"/>
          <w:lang w:val="en-US" w:eastAsia="zh-CN"/>
        </w:rPr>
        <w:t>清华大学出版社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Cs w:val="21"/>
          <w:lang w:val="en-US" w:eastAsia="zh-CN"/>
        </w:rPr>
        <w:t>2018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.</w:t>
      </w:r>
    </w:p>
    <w:p>
      <w:pPr>
        <w:tabs>
          <w:tab w:val="left" w:pos="3420"/>
        </w:tabs>
        <w:spacing w:line="360" w:lineRule="auto"/>
        <w:ind w:firstLine="420" w:firstLineChars="200"/>
        <w:rPr>
          <w:rFonts w:hint="eastAsia" w:ascii="Times New Roman" w:hAnsi="Times New Roman" w:eastAsia="仿宋" w:cs="Times New Roman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[3] 沈鑫剡,等. 路由和交换技术[M].2版. 北京：清华大学出版社，2018.</w:t>
      </w:r>
    </w:p>
    <w:p>
      <w:pPr>
        <w:tabs>
          <w:tab w:val="left" w:pos="3420"/>
        </w:tabs>
        <w:spacing w:line="360" w:lineRule="auto"/>
        <w:ind w:firstLine="420" w:firstLineChars="200"/>
        <w:rPr>
          <w:rFonts w:hint="default" w:ascii="Times New Roman" w:hAnsi="Times New Roman" w:eastAsia="仿宋" w:cs="Times New Roman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[4] 斯桃枝. 路由协议与交换技术[M]2版. 北京：清华大学出版社，2018.</w:t>
      </w:r>
    </w:p>
    <w:p>
      <w:pPr>
        <w:tabs>
          <w:tab w:val="left" w:pos="3420"/>
        </w:tabs>
        <w:spacing w:line="360" w:lineRule="auto"/>
        <w:ind w:firstLine="420" w:firstLineChars="200"/>
        <w:rPr>
          <w:rFonts w:hint="eastAsia" w:ascii="Times New Roman" w:hAnsi="Times New Roman" w:eastAsia="仿宋" w:cs="Times New Roman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[5] 刘道刚. 路由交换技术与实践. 北京：人民邮电出版社，2020.</w:t>
      </w:r>
    </w:p>
    <w:p>
      <w:pPr>
        <w:tabs>
          <w:tab w:val="left" w:pos="3420"/>
        </w:tabs>
        <w:spacing w:line="360" w:lineRule="auto"/>
        <w:ind w:firstLine="420" w:firstLineChars="200"/>
        <w:rPr>
          <w:rFonts w:hint="eastAsia" w:ascii="Times New Roman" w:hAnsi="Times New Roman" w:eastAsia="仿宋" w:cs="Times New Roman"/>
          <w:szCs w:val="21"/>
          <w:lang w:val="en-US" w:eastAsia="zh-CN"/>
        </w:rPr>
      </w:pPr>
    </w:p>
    <w:tbl>
      <w:tblPr>
        <w:tblStyle w:val="3"/>
        <w:tblW w:w="0" w:type="auto"/>
        <w:tblInd w:w="36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1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center"/>
              <w:rPr>
                <w:rFonts w:ascii="Calibri" w:hAnsi="Calibri"/>
                <w:b/>
                <w:bCs/>
                <w:color w:val="auto"/>
              </w:rPr>
            </w:pPr>
            <w:r>
              <w:rPr>
                <w:rFonts w:hint="eastAsia" w:ascii="Calibri" w:hAnsi="Calibri"/>
                <w:b/>
                <w:bCs/>
                <w:color w:val="auto"/>
                <w:lang w:val="en-US" w:eastAsia="zh-CN"/>
              </w:rPr>
              <w:t>执笔人签字</w:t>
            </w:r>
            <w:r>
              <w:rPr>
                <w:rFonts w:hint="eastAsia" w:ascii="Calibri" w:hAnsi="Calibri"/>
                <w:b/>
                <w:bCs/>
                <w:color w:val="auto"/>
              </w:rPr>
              <w:t>：</w:t>
            </w:r>
          </w:p>
        </w:tc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ascii="Calibri" w:hAnsi="Calibri"/>
                <w:b/>
                <w:bCs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center"/>
              <w:rPr>
                <w:rFonts w:ascii="Calibri" w:hAnsi="Calibri"/>
                <w:b/>
                <w:bCs/>
                <w:color w:val="auto"/>
              </w:rPr>
            </w:pPr>
            <w:r>
              <w:rPr>
                <w:rFonts w:hint="eastAsia" w:ascii="Calibri" w:hAnsi="Calibri"/>
                <w:b/>
                <w:bCs/>
                <w:color w:val="auto"/>
                <w:lang w:val="en-US" w:eastAsia="zh-CN"/>
              </w:rPr>
              <w:t>审定人签字</w:t>
            </w:r>
            <w:r>
              <w:rPr>
                <w:rFonts w:hint="eastAsia" w:ascii="Calibri" w:hAnsi="Calibri"/>
                <w:b/>
                <w:bCs/>
                <w:color w:val="auto"/>
              </w:rPr>
              <w:t>：</w:t>
            </w:r>
          </w:p>
        </w:tc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ascii="Calibri" w:hAnsi="Calibri"/>
                <w:b/>
                <w:bCs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center"/>
              <w:rPr>
                <w:rFonts w:ascii="Calibri" w:hAnsi="Calibri"/>
                <w:b/>
                <w:bCs/>
                <w:color w:val="auto"/>
              </w:rPr>
            </w:pPr>
            <w:r>
              <w:rPr>
                <w:rFonts w:hint="eastAsia" w:ascii="Calibri" w:hAnsi="Calibri"/>
                <w:b/>
                <w:bCs/>
                <w:color w:val="auto"/>
                <w:lang w:val="en-US" w:eastAsia="zh-CN"/>
              </w:rPr>
              <w:t>批准人签字</w:t>
            </w:r>
            <w:r>
              <w:rPr>
                <w:rFonts w:hint="eastAsia" w:ascii="Calibri" w:hAnsi="Calibri"/>
                <w:b/>
                <w:bCs/>
                <w:color w:val="auto"/>
              </w:rPr>
              <w:t>：</w:t>
            </w:r>
          </w:p>
        </w:tc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ascii="Calibri" w:hAnsi="Calibri"/>
                <w:b/>
                <w:bCs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center"/>
              <w:rPr>
                <w:rFonts w:hint="default" w:ascii="Calibri" w:hAnsi="Calibri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color w:val="auto"/>
                <w:lang w:val="en-US" w:eastAsia="zh-CN"/>
              </w:rPr>
              <w:t>日期：</w:t>
            </w:r>
          </w:p>
        </w:tc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center"/>
              <w:rPr>
                <w:rFonts w:hint="default" w:ascii="Calibri" w:hAnsi="Calibri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color w:val="auto"/>
                <w:lang w:val="en-US" w:eastAsia="zh-CN"/>
              </w:rPr>
              <w:t>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Y2E5MjI0M2U1ZjkxMmQ4YjUwMGM0OTBkYzdiZGYifQ=="/>
  </w:docVars>
  <w:rsids>
    <w:rsidRoot w:val="00000000"/>
    <w:rsid w:val="217278C7"/>
    <w:rsid w:val="74C8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2023-10-18T07:22:00Z</dcterms:created>
  <dc:creator>Administrator</dc:creator>
  <cp:lastModifiedBy>Administrator</cp:lastModifiedBy>
  <dcterms:modified xsi:type="dcterms:W3CDTF">2023-10-18T07:28:46Z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FE5950F977BA4587A6A872F348FD1E83_12</vt:lpwstr>
  </property>
</Properties>
</file>